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spacing w:line="560" w:lineRule="exact"/>
        <w:ind w:left="0"/>
        <w:textAlignment w:val="auto"/>
        <w:outlineLvl w:val="9"/>
        <w:rPr>
          <w:rFonts w:hint="default" w:ascii="方正小标宋_GBK" w:hAnsi="方正小标宋_GBK" w:eastAsia="黑体" w:cs="方正小标宋_GBK"/>
          <w:color w:val="auto"/>
          <w:sz w:val="44"/>
          <w:szCs w:val="44"/>
          <w:highlight w:val="none"/>
          <w:lang w:val="en-US" w:eastAsia="zh-CN"/>
        </w:rPr>
      </w:pPr>
      <w:r>
        <w:rPr>
          <w:rFonts w:hint="eastAsia" w:ascii="黑体" w:hAnsi="黑体" w:eastAsia="黑体" w:cs="黑体"/>
          <w:b w:val="0"/>
          <w:bCs w:val="0"/>
          <w:color w:val="auto"/>
          <w:sz w:val="32"/>
          <w:szCs w:val="32"/>
          <w:highlight w:val="none"/>
        </w:rPr>
        <w:t>附件</w:t>
      </w:r>
      <w:r>
        <w:rPr>
          <w:rFonts w:hint="eastAsia" w:ascii="黑体" w:hAnsi="黑体" w:eastAsia="黑体" w:cs="黑体"/>
          <w:b w:val="0"/>
          <w:bCs w:val="0"/>
          <w:color w:val="auto"/>
          <w:sz w:val="32"/>
          <w:szCs w:val="32"/>
          <w:highlight w:val="none"/>
          <w:lang w:val="en-US" w:eastAsia="zh-CN"/>
        </w:rPr>
        <w:t>17</w:t>
      </w:r>
      <w:bookmarkStart w:id="0" w:name="_GoBack"/>
      <w:bookmarkEnd w:id="0"/>
    </w:p>
    <w:p>
      <w:pPr>
        <w:spacing w:line="570" w:lineRule="exact"/>
        <w:jc w:val="center"/>
        <w:rPr>
          <w:rFonts w:hint="eastAsia" w:ascii="方正小标宋_GBK" w:hAnsi="方正小标宋_GBK" w:eastAsia="方正小标宋_GBK" w:cs="方正小标宋_GBK"/>
          <w:color w:val="auto"/>
          <w:sz w:val="38"/>
          <w:szCs w:val="38"/>
          <w:highlight w:val="none"/>
        </w:rPr>
      </w:pPr>
      <w:r>
        <w:rPr>
          <w:rFonts w:hint="eastAsia" w:ascii="方正小标宋_GBK" w:hAnsi="方正小标宋_GBK" w:eastAsia="方正小标宋_GBK" w:cs="方正小标宋_GBK"/>
          <w:color w:val="auto"/>
          <w:sz w:val="38"/>
          <w:szCs w:val="38"/>
          <w:highlight w:val="none"/>
        </w:rPr>
        <w:t>湖北省职称评审管理信息系统</w:t>
      </w:r>
    </w:p>
    <w:p>
      <w:pPr>
        <w:spacing w:line="570" w:lineRule="exact"/>
        <w:jc w:val="center"/>
        <w:rPr>
          <w:rFonts w:hint="eastAsia" w:ascii="方正小标宋_GBK" w:hAnsi="方正小标宋_GBK" w:eastAsia="方正小标宋_GBK" w:cs="方正小标宋_GBK"/>
          <w:color w:val="auto"/>
          <w:sz w:val="38"/>
          <w:szCs w:val="38"/>
          <w:highlight w:val="none"/>
        </w:rPr>
      </w:pPr>
      <w:r>
        <w:rPr>
          <w:rFonts w:hint="eastAsia" w:ascii="方正小标宋_GBK" w:hAnsi="方正小标宋_GBK" w:eastAsia="方正小标宋_GBK" w:cs="方正小标宋_GBK"/>
          <w:color w:val="auto"/>
          <w:sz w:val="38"/>
          <w:szCs w:val="38"/>
          <w:highlight w:val="none"/>
        </w:rPr>
        <w:t>（单位审核操作指南）</w:t>
      </w:r>
    </w:p>
    <w:p>
      <w:pPr>
        <w:ind w:firstLine="420"/>
        <w:rPr>
          <w:rFonts w:ascii="方正仿宋_GBK" w:hAnsi="方正仿宋_GBK" w:eastAsia="方正仿宋_GBK" w:cs="方正仿宋_GBK"/>
          <w:color w:val="auto"/>
          <w:sz w:val="32"/>
          <w:szCs w:val="32"/>
          <w:highlight w:val="none"/>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1</w:t>
      </w:r>
      <w:r>
        <w:rPr>
          <w:rFonts w:hint="eastAsia" w:ascii="方正仿宋_GBK" w:hAnsi="方正仿宋_GBK" w:eastAsia="方正仿宋_GBK" w:cs="方正仿宋_GBK"/>
          <w:color w:val="auto"/>
          <w:sz w:val="32"/>
          <w:szCs w:val="32"/>
          <w:highlight w:val="none"/>
        </w:rPr>
        <w:t>.单位审核网址：</w:t>
      </w:r>
      <w:r>
        <w:rPr>
          <w:color w:val="auto"/>
          <w:highlight w:val="none"/>
        </w:rPr>
        <w:fldChar w:fldCharType="begin"/>
      </w:r>
      <w:r>
        <w:rPr>
          <w:color w:val="auto"/>
          <w:highlight w:val="none"/>
        </w:rPr>
        <w:instrText xml:space="preserve"> HYPERLINK "http://59.175.218.201:8502" </w:instrText>
      </w:r>
      <w:r>
        <w:rPr>
          <w:color w:val="auto"/>
          <w:highlight w:val="none"/>
        </w:rPr>
        <w:fldChar w:fldCharType="separate"/>
      </w:r>
      <w:r>
        <w:rPr>
          <w:rStyle w:val="6"/>
          <w:rFonts w:hint="eastAsia" w:ascii="Times New Roman" w:hAnsi="Times New Roman" w:eastAsia="方正仿宋_GBK" w:cs="Times New Roman"/>
          <w:color w:val="auto"/>
          <w:sz w:val="32"/>
          <w:szCs w:val="32"/>
          <w:highlight w:val="none"/>
        </w:rPr>
        <w:t>http://59.175.218.201:8502</w:t>
      </w:r>
      <w:r>
        <w:rPr>
          <w:rStyle w:val="6"/>
          <w:rFonts w:hint="eastAsia" w:ascii="Times New Roman" w:hAnsi="Times New Roman" w:eastAsia="方正仿宋_GBK" w:cs="Times New Roman"/>
          <w:color w:val="auto"/>
          <w:sz w:val="32"/>
          <w:szCs w:val="32"/>
          <w:highlight w:val="none"/>
        </w:rPr>
        <w:fldChar w:fldCharType="end"/>
      </w:r>
      <w:r>
        <w:rPr>
          <w:rFonts w:hint="eastAsia" w:ascii="Times New Roman" w:hAnsi="Times New Roman" w:eastAsia="方正仿宋_GBK"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2</w:t>
      </w:r>
      <w:r>
        <w:rPr>
          <w:rFonts w:hint="eastAsia" w:ascii="方正仿宋_GBK" w:hAnsi="方正仿宋_GBK" w:eastAsia="方正仿宋_GBK" w:cs="方正仿宋_GBK"/>
          <w:color w:val="auto"/>
          <w:sz w:val="32"/>
          <w:szCs w:val="32"/>
          <w:highlight w:val="none"/>
        </w:rPr>
        <w:t>.单位登录后对绑定本单位的申报人员申报资料进行审核，审核通过后向上级单位进行送审，最终推送到申报人选择的评委会；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3</w:t>
      </w:r>
      <w:r>
        <w:rPr>
          <w:rFonts w:hint="eastAsia" w:ascii="方正仿宋_GBK" w:hAnsi="方正仿宋_GBK" w:eastAsia="方正仿宋_GBK" w:cs="方正仿宋_GBK"/>
          <w:color w:val="auto"/>
          <w:sz w:val="32"/>
          <w:szCs w:val="32"/>
          <w:highlight w:val="none"/>
        </w:rPr>
        <w:t>.在统一审核模块里，会看到待审核条数</w:t>
      </w:r>
      <w:r>
        <w:rPr>
          <w:rFonts w:hint="eastAsia" w:ascii="方正仿宋_GBK" w:hAnsi="方正仿宋_GBK" w:eastAsia="方正仿宋_GBK" w:cs="方正仿宋_GBK"/>
          <w:color w:val="auto"/>
          <w:sz w:val="32"/>
          <w:szCs w:val="32"/>
          <w:highlight w:val="none"/>
          <w:lang w:eastAsia="zh-CN"/>
        </w:rPr>
        <w:t>（点击查看）</w:t>
      </w:r>
      <w:r>
        <w:rPr>
          <w:rFonts w:hint="eastAsia" w:ascii="方正仿宋_GBK" w:hAnsi="方正仿宋_GBK" w:eastAsia="方正仿宋_GBK" w:cs="方正仿宋_GBK"/>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4</w:t>
      </w:r>
      <w:r>
        <w:rPr>
          <w:rFonts w:hint="eastAsia" w:ascii="方正仿宋_GBK" w:hAnsi="方正仿宋_GBK" w:eastAsia="方正仿宋_GBK" w:cs="方正仿宋_GBK"/>
          <w:color w:val="auto"/>
          <w:sz w:val="32"/>
          <w:szCs w:val="32"/>
          <w:highlight w:val="none"/>
        </w:rPr>
        <w:t>.点击蓝色待审核列表的数字，会看到本单位送审人员，点击审核；</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5</w:t>
      </w:r>
      <w:r>
        <w:rPr>
          <w:rFonts w:hint="eastAsia" w:ascii="方正仿宋_GBK" w:hAnsi="方正仿宋_GBK" w:eastAsia="方正仿宋_GBK" w:cs="方正仿宋_GBK"/>
          <w:color w:val="auto"/>
          <w:sz w:val="32"/>
          <w:szCs w:val="32"/>
          <w:highlight w:val="none"/>
        </w:rPr>
        <w:t>.认真审查相关信息，确认信息是否有误，</w:t>
      </w:r>
      <w:r>
        <w:rPr>
          <w:rFonts w:hint="eastAsia" w:ascii="方正仿宋_GBK" w:hAnsi="方正仿宋_GBK" w:eastAsia="方正仿宋_GBK" w:cs="方正仿宋_GBK"/>
          <w:color w:val="auto"/>
          <w:sz w:val="32"/>
          <w:szCs w:val="32"/>
          <w:highlight w:val="none"/>
          <w:lang w:eastAsia="zh-CN"/>
        </w:rPr>
        <w:t>如申报材料需要</w:t>
      </w:r>
      <w:r>
        <w:rPr>
          <w:rFonts w:hint="eastAsia" w:ascii="方正仿宋_GBK" w:hAnsi="方正仿宋_GBK" w:eastAsia="方正仿宋_GBK" w:cs="方正仿宋_GBK"/>
          <w:color w:val="auto"/>
          <w:sz w:val="32"/>
          <w:szCs w:val="32"/>
          <w:highlight w:val="none"/>
        </w:rPr>
        <w:t>退回修改，</w:t>
      </w:r>
      <w:r>
        <w:rPr>
          <w:rFonts w:hint="eastAsia" w:ascii="方正仿宋_GBK" w:hAnsi="方正仿宋_GBK" w:eastAsia="方正仿宋_GBK" w:cs="方正仿宋_GBK"/>
          <w:color w:val="auto"/>
          <w:sz w:val="32"/>
          <w:szCs w:val="32"/>
          <w:highlight w:val="none"/>
          <w:lang w:eastAsia="zh-CN"/>
        </w:rPr>
        <w:t>必须先勾选问题模块，在对应问题模块选择“是”（如下图），填写原因，然后在审核结果处选择“退回修改”，填写审核意见，点击保存即退回给个人</w:t>
      </w:r>
      <w:r>
        <w:rPr>
          <w:rFonts w:hint="eastAsia" w:ascii="方正仿宋_GBK" w:hAnsi="方正仿宋_GBK" w:eastAsia="方正仿宋_GBK" w:cs="方正仿宋_GBK"/>
          <w:color w:val="auto"/>
          <w:sz w:val="32"/>
          <w:szCs w:val="32"/>
          <w:highlight w:val="none"/>
        </w:rPr>
        <w:t>；</w:t>
      </w:r>
    </w:p>
    <w:p>
      <w:pPr>
        <w:jc w:val="center"/>
        <w:rPr>
          <w:rFonts w:hint="eastAsia" w:ascii="方正仿宋_GBK" w:hAnsi="方正仿宋_GBK" w:eastAsia="方正仿宋_GBK" w:cs="方正仿宋_GBK"/>
          <w:color w:val="auto"/>
          <w:sz w:val="32"/>
          <w:szCs w:val="32"/>
          <w:highlight w:val="none"/>
        </w:rPr>
      </w:pPr>
      <w:r>
        <w:rPr>
          <w:rFonts w:hint="eastAsia" w:ascii="宋体" w:hAnsi="宋体" w:eastAsia="宋体" w:cs="宋体"/>
          <w:color w:val="auto"/>
          <w:sz w:val="30"/>
          <w:szCs w:val="30"/>
          <w:highlight w:val="none"/>
          <w:lang w:val="en-US" w:eastAsia="zh-CN"/>
        </w:rPr>
        <w:drawing>
          <wp:inline distT="0" distB="0" distL="114300" distR="114300">
            <wp:extent cx="5274310" cy="2548890"/>
            <wp:effectExtent l="0" t="0" r="2540" b="3810"/>
            <wp:docPr id="6" name="图片 1" descr="退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退回"/>
                    <pic:cNvPicPr>
                      <a:picLocks noChangeAspect="1"/>
                    </pic:cNvPicPr>
                  </pic:nvPicPr>
                  <pic:blipFill>
                    <a:blip r:embed="rId6"/>
                    <a:stretch>
                      <a:fillRect/>
                    </a:stretch>
                  </pic:blipFill>
                  <pic:spPr>
                    <a:xfrm>
                      <a:off x="0" y="0"/>
                      <a:ext cx="5274310" cy="25488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6</w:t>
      </w:r>
      <w:r>
        <w:rPr>
          <w:rFonts w:hint="eastAsia" w:ascii="方正仿宋_GBK" w:hAnsi="方正仿宋_GBK" w:eastAsia="方正仿宋_GBK" w:cs="方正仿宋_GBK"/>
          <w:color w:val="auto"/>
          <w:sz w:val="32"/>
          <w:szCs w:val="32"/>
          <w:highlight w:val="none"/>
        </w:rPr>
        <w:t>.单位本着对申报人负责的态度进行认真审核。根据《职称评审管理暂行规定》（人社部令第</w:t>
      </w:r>
      <w:r>
        <w:rPr>
          <w:rFonts w:hint="eastAsia" w:ascii="Times New Roman" w:hAnsi="Times New Roman" w:eastAsia="方正仿宋_GBK" w:cs="Times New Roman"/>
          <w:color w:val="auto"/>
          <w:sz w:val="32"/>
          <w:szCs w:val="32"/>
          <w:highlight w:val="none"/>
        </w:rPr>
        <w:t>40</w:t>
      </w:r>
      <w:r>
        <w:rPr>
          <w:rFonts w:hint="eastAsia" w:ascii="方正仿宋_GBK" w:hAnsi="方正仿宋_GBK" w:eastAsia="方正仿宋_GBK" w:cs="方正仿宋_GBK"/>
          <w:color w:val="auto"/>
          <w:sz w:val="32"/>
          <w:szCs w:val="32"/>
          <w:highlight w:val="none"/>
        </w:rPr>
        <w:t>号），审核单位未依法履行审核职责的，由人力资源社会保障行政部门或者职称评审委员会组建单位对直接负责的主管人员和其他直接责任人员予以批评教育，并责令采取补救措施；情节严重的，依法追究相关人员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7</w:t>
      </w:r>
      <w:r>
        <w:rPr>
          <w:rFonts w:hint="eastAsia" w:ascii="方正仿宋_GBK" w:hAnsi="方正仿宋_GBK" w:eastAsia="方正仿宋_GBK" w:cs="方正仿宋_GBK"/>
          <w:color w:val="auto"/>
          <w:sz w:val="32"/>
          <w:szCs w:val="32"/>
          <w:highlight w:val="none"/>
        </w:rPr>
        <w:t>.确认申报人材料无误后，符合申报资格，在审核结果中选择“审核通过”，审核意见中填入相关批示意见；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8</w:t>
      </w:r>
      <w:r>
        <w:rPr>
          <w:rFonts w:hint="eastAsia" w:ascii="方正仿宋_GBK" w:hAnsi="方正仿宋_GBK" w:eastAsia="方正仿宋_GBK" w:cs="方正仿宋_GBK"/>
          <w:color w:val="auto"/>
          <w:sz w:val="32"/>
          <w:szCs w:val="32"/>
          <w:highlight w:val="none"/>
        </w:rPr>
        <w:t>.确认申报人材料有问题，且不符合申报资格的，选择资格不符终止审核，填写审核意见</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该申请人本年度将不能再次申报</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b/>
          <w:bCs/>
          <w:color w:val="auto"/>
          <w:sz w:val="32"/>
          <w:szCs w:val="32"/>
          <w:highlight w:val="none"/>
          <w:lang w:eastAsia="zh-CN"/>
        </w:rPr>
        <w:t>此条务必审慎使用</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9</w:t>
      </w:r>
      <w:r>
        <w:rPr>
          <w:rFonts w:hint="eastAsia" w:ascii="方正仿宋_GBK" w:hAnsi="方正仿宋_GBK" w:eastAsia="方正仿宋_GBK" w:cs="方正仿宋_GBK"/>
          <w:color w:val="auto"/>
          <w:sz w:val="32"/>
          <w:szCs w:val="32"/>
          <w:highlight w:val="none"/>
        </w:rPr>
        <w:t>.逐一完成审核后，返回统一审核模块，会在待送审中看到相关条数。将所有通过人员，在单位公示栏公示5个工作日；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10</w:t>
      </w:r>
      <w:r>
        <w:rPr>
          <w:rFonts w:hint="eastAsia" w:ascii="方正仿宋_GBK" w:hAnsi="方正仿宋_GBK" w:eastAsia="方正仿宋_GBK" w:cs="方正仿宋_GBK"/>
          <w:color w:val="auto"/>
          <w:sz w:val="32"/>
          <w:szCs w:val="32"/>
          <w:highlight w:val="none"/>
        </w:rPr>
        <w:t>.公示期满，无投诉异议等，可以进入送审环节。点击列表中的蓝色数字，会看到相关要送审的人员；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11</w:t>
      </w:r>
      <w:r>
        <w:rPr>
          <w:rFonts w:hint="eastAsia" w:ascii="方正仿宋_GBK" w:hAnsi="方正仿宋_GBK" w:eastAsia="方正仿宋_GBK" w:cs="方正仿宋_GBK"/>
          <w:color w:val="auto"/>
          <w:sz w:val="32"/>
          <w:szCs w:val="32"/>
          <w:highlight w:val="none"/>
        </w:rPr>
        <w:t>.选择要送审的人员（可多选），点击送审附件，下载单位审核意见表和考核表空白页。相关表样上有二维码，每个二维码对应相关申报人员，不得污损；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12.</w:t>
      </w:r>
      <w:r>
        <w:rPr>
          <w:rFonts w:hint="eastAsia" w:ascii="方正仿宋_GBK" w:hAnsi="方正仿宋_GBK" w:eastAsia="方正仿宋_GBK" w:cs="方正仿宋_GBK"/>
          <w:color w:val="auto"/>
          <w:sz w:val="32"/>
          <w:szCs w:val="32"/>
          <w:highlight w:val="none"/>
        </w:rPr>
        <w:t>将下载的表样按要求填报盖章后，电子化成图片，二维码要清晰可见。其中，考核表的考核意见由单位据实填写</w:t>
      </w:r>
      <w:r>
        <w:rPr>
          <w:rFonts w:hint="eastAsia" w:ascii="方正仿宋_GBK" w:hAnsi="方正仿宋_GBK" w:eastAsia="方正仿宋_GBK" w:cs="方正仿宋_GBK"/>
          <w:b w:val="0"/>
          <w:bCs w:val="0"/>
          <w:color w:val="auto"/>
          <w:sz w:val="32"/>
          <w:szCs w:val="32"/>
          <w:highlight w:val="none"/>
        </w:rPr>
        <w:t>；</w:t>
      </w:r>
      <w:r>
        <w:rPr>
          <w:rFonts w:hint="eastAsia" w:ascii="方正仿宋_GBK" w:hAnsi="方正仿宋_GBK" w:eastAsia="方正仿宋_GBK" w:cs="方正仿宋_GBK"/>
          <w:b/>
          <w:color w:val="auto"/>
          <w:sz w:val="32"/>
          <w:szCs w:val="32"/>
          <w:highlight w:val="none"/>
        </w:rPr>
        <w:t>单位审核意见表的审核意见须填写</w:t>
      </w:r>
      <w:r>
        <w:rPr>
          <w:rFonts w:hint="eastAsia" w:ascii="方正仿宋_GBK" w:hAnsi="方正仿宋_GBK" w:eastAsia="方正仿宋_GBK" w:cs="方正仿宋_GBK"/>
          <w:color w:val="auto"/>
          <w:sz w:val="32"/>
          <w:szCs w:val="32"/>
          <w:highlight w:val="none"/>
        </w:rPr>
        <w:t>“申报人员工作岗位符合申报条件规定，个人信息和业绩材料已经审核，均真实有效，同意上报。”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13.</w:t>
      </w:r>
      <w:r>
        <w:rPr>
          <w:rFonts w:hint="eastAsia" w:ascii="方正仿宋_GBK" w:hAnsi="方正仿宋_GBK" w:eastAsia="方正仿宋_GBK" w:cs="方正仿宋_GBK"/>
          <w:color w:val="auto"/>
          <w:sz w:val="32"/>
          <w:szCs w:val="32"/>
          <w:highlight w:val="none"/>
        </w:rPr>
        <w:t>分别上传公示证明（可以对公示栏公示进行拍照）、考核表盖章页、单位审核意见表盖章页，每个类型可批量上传。上传文件如有误会显示</w:t>
      </w:r>
      <w:r>
        <w:rPr>
          <w:rFonts w:hint="eastAsia" w:ascii="Times New Roman" w:hAnsi="Times New Roman" w:eastAsia="方正仿宋_GBK" w:cs="Times New Roman"/>
          <w:color w:val="auto"/>
          <w:sz w:val="32"/>
          <w:szCs w:val="32"/>
          <w:highlight w:val="none"/>
        </w:rPr>
        <w:t>×</w:t>
      </w:r>
      <w:r>
        <w:rPr>
          <w:rFonts w:hint="eastAsia" w:ascii="Times New Roman" w:hAnsi="Times New Roman" w:eastAsia="方正仿宋_GBK" w:cs="Times New Roman"/>
          <w:color w:val="auto"/>
          <w:sz w:val="32"/>
          <w:szCs w:val="32"/>
          <w:highlight w:val="none"/>
          <w:lang w:eastAsia="zh-CN"/>
        </w:rPr>
        <w:t>，如遇到匹配失败或二维码解析失败，应重新扫描或拍照，确保二维码清晰，上传成功正确会显示</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14.</w:t>
      </w:r>
      <w:r>
        <w:rPr>
          <w:rFonts w:hint="eastAsia" w:ascii="方正仿宋_GBK" w:hAnsi="方正仿宋_GBK" w:eastAsia="方正仿宋_GBK" w:cs="方正仿宋_GBK"/>
          <w:color w:val="auto"/>
          <w:sz w:val="32"/>
          <w:szCs w:val="32"/>
          <w:highlight w:val="none"/>
        </w:rPr>
        <w:t>上传附件无误后，返回送审页面，将需要送审人员勾选后，统一送审；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rPr>
      </w:pPr>
      <w:r>
        <w:rPr>
          <w:rFonts w:hint="eastAsia" w:ascii="Times New Roman" w:hAnsi="Times New Roman" w:eastAsia="方正仿宋_GBK" w:cs="Times New Roman"/>
          <w:color w:val="auto"/>
          <w:sz w:val="32"/>
          <w:szCs w:val="32"/>
          <w:highlight w:val="none"/>
        </w:rPr>
        <w:t>15</w:t>
      </w:r>
      <w:r>
        <w:rPr>
          <w:rFonts w:hint="eastAsia" w:ascii="方正仿宋_GBK" w:hAnsi="方正仿宋_GBK" w:eastAsia="方正仿宋_GBK" w:cs="方正仿宋_GBK"/>
          <w:color w:val="auto"/>
          <w:sz w:val="32"/>
          <w:szCs w:val="32"/>
          <w:highlight w:val="none"/>
        </w:rPr>
        <w:t>.如在送审前发现某人资料有误，可选择：撤回，退回该申报人资料到待审核，重新审核。</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r>
        <w:rPr>
          <w:rFonts w:hint="eastAsia" w:ascii="Times New Roman" w:hAnsi="Times New Roman" w:eastAsia="方正仿宋_GBK" w:cs="Times New Roman"/>
          <w:color w:val="auto"/>
          <w:sz w:val="32"/>
          <w:szCs w:val="32"/>
          <w:highlight w:val="none"/>
          <w:lang w:val="en-US" w:eastAsia="zh-CN"/>
        </w:rPr>
        <w:t>16.</w:t>
      </w:r>
      <w:r>
        <w:rPr>
          <w:rFonts w:hint="eastAsia" w:ascii="方正仿宋_GBK" w:hAnsi="方正仿宋_GBK" w:eastAsia="方正仿宋_GBK" w:cs="方正仿宋_GBK"/>
          <w:color w:val="auto"/>
          <w:sz w:val="32"/>
          <w:szCs w:val="32"/>
          <w:highlight w:val="none"/>
          <w:lang w:val="en-US" w:eastAsia="zh-CN"/>
        </w:rPr>
        <w:t>如有多级单位，上述审核、送审环节操作方式一致。</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方正仿宋_GBK" w:eastAsia="方正仿宋_GBK" w:cs="方正仿宋_GBK"/>
          <w:color w:val="auto"/>
          <w:sz w:val="32"/>
          <w:szCs w:val="32"/>
          <w:highlight w:val="none"/>
          <w:lang w:val="en-US" w:eastAsia="zh-CN"/>
        </w:rPr>
      </w:pPr>
    </w:p>
    <w:p>
      <w:pPr>
        <w:pStyle w:val="2"/>
        <w:rPr>
          <w:rFonts w:hint="eastAsia" w:ascii="方正仿宋_GBK" w:hAnsi="方正仿宋_GBK" w:eastAsia="方正仿宋_GBK" w:cs="方正仿宋_GBK"/>
          <w:color w:val="auto"/>
          <w:sz w:val="32"/>
          <w:szCs w:val="32"/>
          <w:highlight w:val="none"/>
          <w:lang w:val="en-US" w:eastAsia="zh-CN"/>
        </w:rPr>
      </w:pPr>
    </w:p>
    <w:p/>
    <w:sectPr>
      <w:footerReference r:id="rId3" w:type="default"/>
      <w:footerReference r:id="rId4" w:type="even"/>
      <w:pgSz w:w="11906" w:h="16838"/>
      <w:pgMar w:top="1757" w:right="1531" w:bottom="1531"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- 17 -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RqoqKrgEAAEsD&#10;AAAOAAAAAAAAAAEAIAAAAB4BAABkcnMvZTJvRG9jLnhtbFBLBQYAAAAABgAGAFkBAAA+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- 17 -</w:t>
                    </w:r>
                    <w:r>
                      <w:rPr>
                        <w:rFonts w:hint="eastAsia"/>
                        <w:lang w:eastAsia="zh-CN"/>
                      </w:rPr>
                      <w:fldChar w:fldCharType="end"/>
                    </w:r>
                  </w:p>
                </w:txbxContent>
              </v:textbox>
            </v:shape>
          </w:pict>
        </mc:Fallback>
      </mc:AlternateContent>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ind w:right="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- 18 -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x/Dk7rgEAAEsD&#10;AAAOAAAAAAAAAAEAIAAAAB4BAABkcnMvZTJvRG9jLnhtbFBLBQYAAAAABgAGAFkBAAA+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- 18 -</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A6658"/>
    <w:rsid w:val="5CF65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widowControl w:val="0"/>
      <w:spacing w:line="360" w:lineRule="auto"/>
      <w:ind w:left="420" w:leftChars="200"/>
      <w:jc w:val="both"/>
    </w:pPr>
    <w:rPr>
      <w:rFonts w:ascii="Calibri" w:hAnsi="Calibri" w:eastAsia="仿宋_GB2312" w:cs="Times New Roman"/>
      <w:kern w:val="2"/>
      <w:sz w:val="21"/>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character" w:styleId="6">
    <w:name w:val="Hyperlink"/>
    <w:basedOn w:val="5"/>
    <w:qFormat/>
    <w:uiPriority w:val="0"/>
    <w:rPr>
      <w:rFonts w:ascii="Times New Roman" w:hAnsi="Times New Roman" w:eastAsia="仿宋_GB2312" w:cs="Times New Roman"/>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2022-11-16T09:35:00Z</dcterms:created>
  <dc:creator>Administrator</dc:creator>
  <cp:lastModifiedBy>NTKO</cp:lastModifiedBy>
  <dcterms:modified xsi:type="dcterms:W3CDTF">2024-07-17T08:08:46Z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